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6E386" w14:textId="77777777" w:rsidR="007F0FC2" w:rsidRPr="007F0FC2" w:rsidRDefault="007F0FC2" w:rsidP="007F0FC2">
      <w:pPr>
        <w:pStyle w:val="p1"/>
        <w:rPr>
          <w:b/>
          <w:bCs/>
          <w:sz w:val="32"/>
          <w:szCs w:val="32"/>
        </w:rPr>
      </w:pPr>
      <w:r w:rsidRPr="007F0FC2">
        <w:rPr>
          <w:b/>
          <w:bCs/>
          <w:sz w:val="32"/>
          <w:szCs w:val="32"/>
        </w:rPr>
        <w:t>As of March 12, 2025, these of the current bills before the New Hampshire Senate and House</w:t>
      </w:r>
    </w:p>
    <w:p w14:paraId="63834673" w14:textId="5320486A" w:rsidR="007F0FC2" w:rsidRDefault="007F0FC2" w:rsidP="007F0FC2">
      <w:pPr>
        <w:pStyle w:val="p1"/>
      </w:pPr>
      <w:r>
        <w:rPr>
          <w:b/>
          <w:bCs/>
        </w:rPr>
        <w:t>Senate Bills:</w:t>
      </w:r>
    </w:p>
    <w:p w14:paraId="3E32A004" w14:textId="77777777" w:rsidR="007F0FC2" w:rsidRDefault="007F0FC2" w:rsidP="007F0FC2">
      <w:pPr>
        <w:pStyle w:val="p2"/>
      </w:pPr>
      <w:r>
        <w:rPr>
          <w:rStyle w:val="s1"/>
          <w:rFonts w:eastAsiaTheme="majorEastAsia"/>
        </w:rPr>
        <w:t>1.</w:t>
      </w:r>
      <w:r>
        <w:rPr>
          <w:rStyle w:val="apple-tab-span"/>
          <w:rFonts w:eastAsiaTheme="majorEastAsia"/>
        </w:rPr>
        <w:t xml:space="preserve"> </w:t>
      </w:r>
      <w:r>
        <w:rPr>
          <w:b/>
          <w:bCs/>
        </w:rPr>
        <w:t>Senate Bill 84 (SB 84): Relative to Zoning Procedures Concerning Residential Housing</w:t>
      </w:r>
    </w:p>
    <w:p w14:paraId="3731850E" w14:textId="77777777" w:rsidR="007F0FC2" w:rsidRDefault="007F0FC2" w:rsidP="007F0FC2">
      <w:pPr>
        <w:pStyle w:val="p3"/>
      </w:pPr>
      <w:r>
        <w:t>SB 84 proposes to set maximum lot sizes for single-family residential uses based on the type of infrastructure servicing the lot. Specifically, it limits lot sizes to 66,000 square feet for lots without municipal or community sewer infrastructure, 44,000 square feet for lots with municipal or community water infrastructure, and 22,000 square feet for lots with both municipal or community sewer and water infrastructure. This bill aims to standardize zoning procedures to facilitate residential development.</w:t>
      </w:r>
    </w:p>
    <w:p w14:paraId="01CA4E7E" w14:textId="77777777" w:rsidR="007F0FC2" w:rsidRDefault="007F0FC2" w:rsidP="007F0FC2">
      <w:pPr>
        <w:pStyle w:val="p2"/>
      </w:pPr>
      <w:r>
        <w:rPr>
          <w:rStyle w:val="s1"/>
          <w:rFonts w:eastAsiaTheme="majorEastAsia"/>
        </w:rPr>
        <w:t>2.</w:t>
      </w:r>
      <w:r>
        <w:rPr>
          <w:rStyle w:val="apple-tab-span"/>
          <w:rFonts w:eastAsiaTheme="majorEastAsia"/>
        </w:rPr>
        <w:t xml:space="preserve"> </w:t>
      </w:r>
      <w:r>
        <w:rPr>
          <w:b/>
          <w:bCs/>
        </w:rPr>
        <w:t>Senate Bill 90 (SB 90): Relative to Training and Procedures for Zoning and Planning Boards</w:t>
      </w:r>
    </w:p>
    <w:p w14:paraId="4931FA89" w14:textId="77777777" w:rsidR="007F0FC2" w:rsidRDefault="007F0FC2" w:rsidP="007F0FC2">
      <w:pPr>
        <w:pStyle w:val="p3"/>
      </w:pPr>
      <w:r>
        <w:t>SB 90 aims to enhance the training requirements and procedural guidelines for members of zoning and planning boards. The goal is to ensure that board members are well-informed about current laws and best practices, thereby improving the efficiency and effectiveness of local land use decisions.</w:t>
      </w:r>
    </w:p>
    <w:p w14:paraId="1D652D8B" w14:textId="77777777" w:rsidR="007F0FC2" w:rsidRDefault="007F0FC2" w:rsidP="007F0FC2">
      <w:pPr>
        <w:pStyle w:val="p2"/>
      </w:pPr>
      <w:r>
        <w:rPr>
          <w:rStyle w:val="s1"/>
          <w:rFonts w:eastAsiaTheme="majorEastAsia"/>
        </w:rPr>
        <w:t>3.</w:t>
      </w:r>
      <w:r>
        <w:rPr>
          <w:rStyle w:val="apple-tab-span"/>
          <w:rFonts w:eastAsiaTheme="majorEastAsia"/>
        </w:rPr>
        <w:t xml:space="preserve"> </w:t>
      </w:r>
      <w:r>
        <w:rPr>
          <w:b/>
          <w:bCs/>
        </w:rPr>
        <w:t>Senate Bill 174 (SB 174): Establishing a Housing Champion Certification Program</w:t>
      </w:r>
    </w:p>
    <w:p w14:paraId="4D90FAD2" w14:textId="77777777" w:rsidR="007F0FC2" w:rsidRDefault="007F0FC2" w:rsidP="007F0FC2">
      <w:pPr>
        <w:pStyle w:val="p3"/>
      </w:pPr>
      <w:r>
        <w:t>SB 174 proposes the creation of a Housing Champion Certification Program to recognize and incentivize municipalities that adopt policies promoting housing development. Certified municipalities may receive preferential access to state resources and grants, encouraging local governments to actively address housing shortages.</w:t>
      </w:r>
    </w:p>
    <w:p w14:paraId="4DF33583" w14:textId="77777777" w:rsidR="007F0FC2" w:rsidRDefault="007F0FC2" w:rsidP="007F0FC2">
      <w:pPr>
        <w:pStyle w:val="p2"/>
      </w:pPr>
      <w:r>
        <w:rPr>
          <w:rStyle w:val="s1"/>
          <w:rFonts w:eastAsiaTheme="majorEastAsia"/>
        </w:rPr>
        <w:t>4.</w:t>
      </w:r>
      <w:r>
        <w:rPr>
          <w:rStyle w:val="apple-tab-span"/>
          <w:rFonts w:eastAsiaTheme="majorEastAsia"/>
        </w:rPr>
        <w:t xml:space="preserve"> </w:t>
      </w:r>
      <w:r>
        <w:rPr>
          <w:b/>
          <w:bCs/>
        </w:rPr>
        <w:t>Senate Bill 163 (SB 163): Relative to Accessory Dwelling Units</w:t>
      </w:r>
    </w:p>
    <w:p w14:paraId="0658B9A9" w14:textId="77777777" w:rsidR="007F0FC2" w:rsidRDefault="007F0FC2" w:rsidP="007F0FC2">
      <w:pPr>
        <w:pStyle w:val="p3"/>
      </w:pPr>
      <w:r>
        <w:t>SB 163 seeks to amend existing regulations concerning accessory dwelling units (ADUs). The bill proposes to ease restrictions on the size, occupancy, and permitting processes for ADUs to increase affordable housing options and optimize land use in residential zones.</w:t>
      </w:r>
    </w:p>
    <w:p w14:paraId="14D73E6C" w14:textId="77777777" w:rsidR="007F0FC2" w:rsidRDefault="007F0FC2" w:rsidP="007F0FC2">
      <w:pPr>
        <w:pStyle w:val="p2"/>
      </w:pPr>
      <w:r>
        <w:rPr>
          <w:rStyle w:val="s1"/>
          <w:rFonts w:eastAsiaTheme="majorEastAsia"/>
        </w:rPr>
        <w:t>5.</w:t>
      </w:r>
      <w:r>
        <w:rPr>
          <w:rStyle w:val="apple-tab-span"/>
          <w:rFonts w:eastAsiaTheme="majorEastAsia"/>
        </w:rPr>
        <w:t xml:space="preserve"> </w:t>
      </w:r>
      <w:r>
        <w:rPr>
          <w:b/>
          <w:bCs/>
        </w:rPr>
        <w:t>Senate Bill 188 (SB 188): Relative to Inclusionary Zoning</w:t>
      </w:r>
    </w:p>
    <w:p w14:paraId="2082674A" w14:textId="77777777" w:rsidR="007F0FC2" w:rsidRDefault="007F0FC2" w:rsidP="007F0FC2">
      <w:pPr>
        <w:pStyle w:val="p3"/>
      </w:pPr>
      <w:r>
        <w:t>SB 188 focuses on promoting inclusionary zoning practices, which require or encourage developers to include a certain percentage of affordable housing units in new residential developments. The bill aims to increase the availability of affordable housing and promote socioeconomic diversity within communities.</w:t>
      </w:r>
    </w:p>
    <w:p w14:paraId="45C1423F" w14:textId="77777777" w:rsidR="007F0FC2" w:rsidRDefault="007F0FC2" w:rsidP="007F0FC2">
      <w:pPr>
        <w:pStyle w:val="p2"/>
      </w:pPr>
      <w:r>
        <w:rPr>
          <w:rStyle w:val="s1"/>
          <w:rFonts w:eastAsiaTheme="majorEastAsia"/>
        </w:rPr>
        <w:t>6.</w:t>
      </w:r>
      <w:r>
        <w:rPr>
          <w:rStyle w:val="apple-tab-span"/>
          <w:rFonts w:eastAsiaTheme="majorEastAsia"/>
        </w:rPr>
        <w:t xml:space="preserve"> </w:t>
      </w:r>
      <w:r>
        <w:rPr>
          <w:b/>
          <w:bCs/>
        </w:rPr>
        <w:t>Senate Bill 281 (SB 281): Establishing a Commission to Study Barriers to Housing Development</w:t>
      </w:r>
    </w:p>
    <w:p w14:paraId="221745DA" w14:textId="77777777" w:rsidR="007F0FC2" w:rsidRDefault="007F0FC2" w:rsidP="007F0FC2">
      <w:pPr>
        <w:pStyle w:val="p3"/>
      </w:pPr>
      <w:r>
        <w:lastRenderedPageBreak/>
        <w:t>SB 281 proposes the establishment of a commission to identify and analyze barriers to housing development in New Hampshire. The commission’s findings would inform future legislative efforts to streamline regulations and promote the construction of new housing units.</w:t>
      </w:r>
    </w:p>
    <w:p w14:paraId="71DF834D" w14:textId="77777777" w:rsidR="007F0FC2" w:rsidRDefault="007F0FC2" w:rsidP="007F0FC2">
      <w:pPr>
        <w:pStyle w:val="p2"/>
      </w:pPr>
      <w:r>
        <w:rPr>
          <w:rStyle w:val="s1"/>
          <w:rFonts w:eastAsiaTheme="majorEastAsia"/>
        </w:rPr>
        <w:t>7.</w:t>
      </w:r>
      <w:r>
        <w:rPr>
          <w:rStyle w:val="apple-tab-span"/>
          <w:rFonts w:eastAsiaTheme="majorEastAsia"/>
        </w:rPr>
        <w:t xml:space="preserve"> </w:t>
      </w:r>
      <w:r>
        <w:rPr>
          <w:b/>
          <w:bCs/>
        </w:rPr>
        <w:t>Senate Bill 284 (SB 284): Relative to Workforce Housing Opportunities</w:t>
      </w:r>
    </w:p>
    <w:p w14:paraId="26BD0946" w14:textId="77777777" w:rsidR="007F0FC2" w:rsidRDefault="007F0FC2" w:rsidP="007F0FC2">
      <w:pPr>
        <w:pStyle w:val="p3"/>
      </w:pPr>
      <w:r>
        <w:t>SB 284 aims to expand workforce housing opportunities by providing incentives for developments that include affordable housing units for low- and moderate-income workers. The bill seeks to address the housing needs of the state’s workforce and support economic growth.</w:t>
      </w:r>
    </w:p>
    <w:p w14:paraId="3D199646" w14:textId="77777777" w:rsidR="007F0FC2" w:rsidRDefault="007F0FC2" w:rsidP="007F0FC2">
      <w:pPr>
        <w:pStyle w:val="p4"/>
      </w:pPr>
    </w:p>
    <w:p w14:paraId="19A6DF16" w14:textId="77777777" w:rsidR="007F0FC2" w:rsidRDefault="007F0FC2" w:rsidP="007F0FC2">
      <w:pPr>
        <w:pStyle w:val="p1"/>
      </w:pPr>
      <w:r>
        <w:rPr>
          <w:b/>
          <w:bCs/>
        </w:rPr>
        <w:t>House Bills:</w:t>
      </w:r>
    </w:p>
    <w:p w14:paraId="31C918CC" w14:textId="77777777" w:rsidR="007F0FC2" w:rsidRDefault="007F0FC2" w:rsidP="007F0FC2">
      <w:pPr>
        <w:pStyle w:val="p5"/>
      </w:pPr>
      <w:r>
        <w:rPr>
          <w:rStyle w:val="s1"/>
          <w:rFonts w:eastAsiaTheme="majorEastAsia"/>
        </w:rPr>
        <w:t>1.</w:t>
      </w:r>
      <w:r>
        <w:rPr>
          <w:rStyle w:val="apple-tab-span"/>
          <w:rFonts w:eastAsiaTheme="majorEastAsia"/>
        </w:rPr>
        <w:t xml:space="preserve"> </w:t>
      </w:r>
      <w:r>
        <w:rPr>
          <w:b/>
          <w:bCs/>
        </w:rPr>
        <w:t>House Bill 382 (HB 382): Relative to Property Tax Relief for Affordable Housing Developments</w:t>
      </w:r>
    </w:p>
    <w:p w14:paraId="0AC920BB" w14:textId="77777777" w:rsidR="007F0FC2" w:rsidRDefault="007F0FC2" w:rsidP="007F0FC2">
      <w:pPr>
        <w:pStyle w:val="p3"/>
      </w:pPr>
      <w:r>
        <w:t>HB 382 proposes property tax relief measures for developers who include affordable housing units in their projects. The bill aims to incentivize the construction of affordable housing by reducing the financial burden on developers, thereby increasing the availability of such units.</w:t>
      </w:r>
    </w:p>
    <w:p w14:paraId="60F95882" w14:textId="77777777" w:rsidR="007F0FC2" w:rsidRDefault="007F0FC2" w:rsidP="007F0FC2">
      <w:pPr>
        <w:pStyle w:val="p5"/>
      </w:pPr>
      <w:r>
        <w:rPr>
          <w:rStyle w:val="s1"/>
          <w:rFonts w:eastAsiaTheme="majorEastAsia"/>
        </w:rPr>
        <w:t>2.</w:t>
      </w:r>
      <w:r>
        <w:rPr>
          <w:rStyle w:val="apple-tab-span"/>
          <w:rFonts w:eastAsiaTheme="majorEastAsia"/>
        </w:rPr>
        <w:t xml:space="preserve"> </w:t>
      </w:r>
      <w:r>
        <w:rPr>
          <w:b/>
          <w:bCs/>
        </w:rPr>
        <w:t>House Bill 457 (HB 457): Relative to the Appeals Process for Housing Development Projects</w:t>
      </w:r>
    </w:p>
    <w:p w14:paraId="58C5645E" w14:textId="77777777" w:rsidR="007F0FC2" w:rsidRDefault="007F0FC2" w:rsidP="007F0FC2">
      <w:pPr>
        <w:pStyle w:val="p3"/>
      </w:pPr>
      <w:r>
        <w:t>HB 457 seeks to streamline the appeals process for housing development projects by establishing clear timelines and procedures. The goal is to reduce delays and uncertainties in the approval process, facilitating the timely development of new housing units.</w:t>
      </w:r>
    </w:p>
    <w:p w14:paraId="27A84EA1" w14:textId="77777777" w:rsidR="007F0FC2" w:rsidRDefault="007F0FC2" w:rsidP="007F0FC2">
      <w:pPr>
        <w:pStyle w:val="p5"/>
      </w:pPr>
      <w:r>
        <w:rPr>
          <w:rStyle w:val="s1"/>
          <w:rFonts w:eastAsiaTheme="majorEastAsia"/>
        </w:rPr>
        <w:t>3.</w:t>
      </w:r>
      <w:r>
        <w:rPr>
          <w:rStyle w:val="apple-tab-span"/>
          <w:rFonts w:eastAsiaTheme="majorEastAsia"/>
        </w:rPr>
        <w:t xml:space="preserve"> </w:t>
      </w:r>
      <w:r>
        <w:rPr>
          <w:b/>
          <w:bCs/>
        </w:rPr>
        <w:t>House Bill 459 (HB 459): Relative to Municipal Authority Regarding Housing Standards</w:t>
      </w:r>
    </w:p>
    <w:p w14:paraId="7EDD4037" w14:textId="77777777" w:rsidR="007F0FC2" w:rsidRDefault="007F0FC2" w:rsidP="007F0FC2">
      <w:pPr>
        <w:pStyle w:val="p3"/>
      </w:pPr>
      <w:r>
        <w:t>HB 459 aims to clarify and potentially expand municipal authority concerning housing standards. The bill addresses the balance between state and local control over housing regulations, seeking to empower municipalities to adopt standards that address their unique housing challenges.</w:t>
      </w:r>
    </w:p>
    <w:p w14:paraId="08F573FF" w14:textId="77777777" w:rsidR="007F0FC2" w:rsidRDefault="007F0FC2" w:rsidP="007F0FC2">
      <w:pPr>
        <w:pStyle w:val="p5"/>
      </w:pPr>
      <w:r>
        <w:rPr>
          <w:rStyle w:val="s1"/>
          <w:rFonts w:eastAsiaTheme="majorEastAsia"/>
        </w:rPr>
        <w:t>4.</w:t>
      </w:r>
      <w:r>
        <w:rPr>
          <w:rStyle w:val="apple-tab-span"/>
          <w:rFonts w:eastAsiaTheme="majorEastAsia"/>
        </w:rPr>
        <w:t xml:space="preserve"> </w:t>
      </w:r>
      <w:r>
        <w:rPr>
          <w:b/>
          <w:bCs/>
        </w:rPr>
        <w:t>House Bill 631 (HB 631): Establishing a Housing Appeals Board</w:t>
      </w:r>
    </w:p>
    <w:p w14:paraId="4B6FB469" w14:textId="77777777" w:rsidR="007F0FC2" w:rsidRDefault="007F0FC2" w:rsidP="007F0FC2">
      <w:pPr>
        <w:pStyle w:val="p3"/>
      </w:pPr>
      <w:r>
        <w:t>HB 631 proposes the creation of a Housing Appeals Board to provide an expedited review process for disputes related to housing development decisions. The board would serve as an alternative to the court system, aiming to resolve conflicts more efficiently and reduce litigation costs.</w:t>
      </w:r>
    </w:p>
    <w:p w14:paraId="6130F558" w14:textId="77777777" w:rsidR="000A4FE0" w:rsidRDefault="000A4FE0"/>
    <w:sectPr w:rsidR="000A4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C2"/>
    <w:rsid w:val="000A4FE0"/>
    <w:rsid w:val="00250011"/>
    <w:rsid w:val="007F0FC2"/>
    <w:rsid w:val="009F3717"/>
    <w:rsid w:val="00A0012A"/>
    <w:rsid w:val="00B469A0"/>
    <w:rsid w:val="00B853C5"/>
    <w:rsid w:val="00DD0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113848"/>
  <w15:chartTrackingRefBased/>
  <w15:docId w15:val="{21524CF0-A3C0-9240-9A81-195AC3201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F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F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F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F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F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F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F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earchapterheading">
    <w:name w:val="ODear chapter heading"/>
    <w:basedOn w:val="Normal"/>
    <w:autoRedefine/>
    <w:qFormat/>
    <w:rsid w:val="00B853C5"/>
    <w:pPr>
      <w:keepNext/>
      <w:keepLines/>
      <w:spacing w:before="200" w:after="200" w:line="276" w:lineRule="auto"/>
      <w:jc w:val="center"/>
      <w:outlineLvl w:val="1"/>
    </w:pPr>
    <w:rPr>
      <w:rFonts w:eastAsiaTheme="minorEastAsia"/>
      <w:b/>
      <w:bCs/>
      <w:color w:val="0E2841" w:themeColor="text2"/>
      <w:kern w:val="0"/>
      <w:sz w:val="44"/>
      <w:szCs w:val="44"/>
      <w14:ligatures w14:val="none"/>
    </w:rPr>
  </w:style>
  <w:style w:type="character" w:customStyle="1" w:styleId="Heading1Char">
    <w:name w:val="Heading 1 Char"/>
    <w:basedOn w:val="DefaultParagraphFont"/>
    <w:link w:val="Heading1"/>
    <w:uiPriority w:val="9"/>
    <w:rsid w:val="007F0F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F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F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F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F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FC2"/>
    <w:rPr>
      <w:rFonts w:eastAsiaTheme="majorEastAsia" w:cstheme="majorBidi"/>
      <w:color w:val="272727" w:themeColor="text1" w:themeTint="D8"/>
    </w:rPr>
  </w:style>
  <w:style w:type="paragraph" w:styleId="Title">
    <w:name w:val="Title"/>
    <w:basedOn w:val="Normal"/>
    <w:next w:val="Normal"/>
    <w:link w:val="TitleChar"/>
    <w:uiPriority w:val="10"/>
    <w:qFormat/>
    <w:rsid w:val="007F0F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F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F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0FC2"/>
    <w:rPr>
      <w:i/>
      <w:iCs/>
      <w:color w:val="404040" w:themeColor="text1" w:themeTint="BF"/>
    </w:rPr>
  </w:style>
  <w:style w:type="paragraph" w:styleId="ListParagraph">
    <w:name w:val="List Paragraph"/>
    <w:basedOn w:val="Normal"/>
    <w:uiPriority w:val="34"/>
    <w:qFormat/>
    <w:rsid w:val="007F0FC2"/>
    <w:pPr>
      <w:ind w:left="720"/>
      <w:contextualSpacing/>
    </w:pPr>
  </w:style>
  <w:style w:type="character" w:styleId="IntenseEmphasis">
    <w:name w:val="Intense Emphasis"/>
    <w:basedOn w:val="DefaultParagraphFont"/>
    <w:uiPriority w:val="21"/>
    <w:qFormat/>
    <w:rsid w:val="007F0FC2"/>
    <w:rPr>
      <w:i/>
      <w:iCs/>
      <w:color w:val="0F4761" w:themeColor="accent1" w:themeShade="BF"/>
    </w:rPr>
  </w:style>
  <w:style w:type="paragraph" w:styleId="IntenseQuote">
    <w:name w:val="Intense Quote"/>
    <w:basedOn w:val="Normal"/>
    <w:next w:val="Normal"/>
    <w:link w:val="IntenseQuoteChar"/>
    <w:uiPriority w:val="30"/>
    <w:qFormat/>
    <w:rsid w:val="007F0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FC2"/>
    <w:rPr>
      <w:i/>
      <w:iCs/>
      <w:color w:val="0F4761" w:themeColor="accent1" w:themeShade="BF"/>
    </w:rPr>
  </w:style>
  <w:style w:type="character" w:styleId="IntenseReference">
    <w:name w:val="Intense Reference"/>
    <w:basedOn w:val="DefaultParagraphFont"/>
    <w:uiPriority w:val="32"/>
    <w:qFormat/>
    <w:rsid w:val="007F0FC2"/>
    <w:rPr>
      <w:b/>
      <w:bCs/>
      <w:smallCaps/>
      <w:color w:val="0F4761" w:themeColor="accent1" w:themeShade="BF"/>
      <w:spacing w:val="5"/>
    </w:rPr>
  </w:style>
  <w:style w:type="paragraph" w:customStyle="1" w:styleId="p1">
    <w:name w:val="p1"/>
    <w:basedOn w:val="Normal"/>
    <w:rsid w:val="007F0FC2"/>
    <w:pPr>
      <w:spacing w:before="100" w:beforeAutospacing="1" w:after="100" w:afterAutospacing="1"/>
    </w:pPr>
    <w:rPr>
      <w:rFonts w:ascii="Times New Roman" w:eastAsia="Times New Roman" w:hAnsi="Times New Roman" w:cs="Times New Roman"/>
      <w:kern w:val="0"/>
      <w14:ligatures w14:val="none"/>
    </w:rPr>
  </w:style>
  <w:style w:type="paragraph" w:customStyle="1" w:styleId="p2">
    <w:name w:val="p2"/>
    <w:basedOn w:val="Normal"/>
    <w:rsid w:val="007F0FC2"/>
    <w:pPr>
      <w:spacing w:before="100" w:beforeAutospacing="1" w:after="100" w:afterAutospacing="1"/>
    </w:pPr>
    <w:rPr>
      <w:rFonts w:ascii="Times New Roman" w:eastAsia="Times New Roman" w:hAnsi="Times New Roman" w:cs="Times New Roman"/>
      <w:kern w:val="0"/>
      <w14:ligatures w14:val="none"/>
    </w:rPr>
  </w:style>
  <w:style w:type="character" w:customStyle="1" w:styleId="s1">
    <w:name w:val="s1"/>
    <w:basedOn w:val="DefaultParagraphFont"/>
    <w:rsid w:val="007F0FC2"/>
  </w:style>
  <w:style w:type="character" w:customStyle="1" w:styleId="apple-tab-span">
    <w:name w:val="apple-tab-span"/>
    <w:basedOn w:val="DefaultParagraphFont"/>
    <w:rsid w:val="007F0FC2"/>
  </w:style>
  <w:style w:type="paragraph" w:customStyle="1" w:styleId="p3">
    <w:name w:val="p3"/>
    <w:basedOn w:val="Normal"/>
    <w:rsid w:val="007F0FC2"/>
    <w:pPr>
      <w:spacing w:before="100" w:beforeAutospacing="1" w:after="100" w:afterAutospacing="1"/>
    </w:pPr>
    <w:rPr>
      <w:rFonts w:ascii="Times New Roman" w:eastAsia="Times New Roman" w:hAnsi="Times New Roman" w:cs="Times New Roman"/>
      <w:kern w:val="0"/>
      <w14:ligatures w14:val="none"/>
    </w:rPr>
  </w:style>
  <w:style w:type="paragraph" w:customStyle="1" w:styleId="p4">
    <w:name w:val="p4"/>
    <w:basedOn w:val="Normal"/>
    <w:rsid w:val="007F0FC2"/>
    <w:pPr>
      <w:spacing w:before="100" w:beforeAutospacing="1" w:after="100" w:afterAutospacing="1"/>
    </w:pPr>
    <w:rPr>
      <w:rFonts w:ascii="Times New Roman" w:eastAsia="Times New Roman" w:hAnsi="Times New Roman" w:cs="Times New Roman"/>
      <w:kern w:val="0"/>
      <w14:ligatures w14:val="none"/>
    </w:rPr>
  </w:style>
  <w:style w:type="paragraph" w:customStyle="1" w:styleId="p5">
    <w:name w:val="p5"/>
    <w:basedOn w:val="Normal"/>
    <w:rsid w:val="007F0FC2"/>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3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Duffy</dc:creator>
  <cp:keywords/>
  <dc:description/>
  <cp:lastModifiedBy>Gerald Duffy</cp:lastModifiedBy>
  <cp:revision>1</cp:revision>
  <dcterms:created xsi:type="dcterms:W3CDTF">2025-03-12T19:17:00Z</dcterms:created>
  <dcterms:modified xsi:type="dcterms:W3CDTF">2025-03-12T19:42:00Z</dcterms:modified>
</cp:coreProperties>
</file>